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0FDFA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İSGGM</w:t>
              <w:br/>
              <w:t>İSG MEVZUAT REHBERİ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İSG MEVZUAT UYUM VE DENETİM SİSTEMİ</w:t>
              <w:br/>
              <w:t>BIYOLOJIK ETKENLERE MARUZIYET RISKLERININ ÖNLENMESI HAKKINDA YÖNETMELIK ÖZETI: RISK GRUPLARI VE KAYITLAR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MEV-BYO-15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Kanun / Yönetmelik: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Biyolojik Etkenlere Maruziyet Risklerinin Önlenmesi Hakkında Yönetmelik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NACE Kodu: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Kontrol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RISK GRUPLARI VE TEHLIKE SINIFLANDIRMASI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Grup 1: İnsanda hastalığa yol açma ihtimali bulunmayan biyolojik etkenler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Grup 2: İnsanda hastalığa neden olabilen, topluma yayılma olasılığı düşük, tedavisi bulunan etkenler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Grup 3: İnsanda ağır hastalığa yol açan, topluma yayılma riski bulunan, etkili tedavisi bulunan etkenler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Grup 4: İnsanda ağır hastalığa yol açan, topluma yayılma riski yüksek, tedavisi bulunmayan etkenler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BAKANLIĞA BILDIRIM VE YASAL İZINLER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Grup 2, Grup 3 ve Grup 4 biyolojik etkenlerin ilk kez kullanımında işe başlamadan en az 30 gün önce Bakanlığa bildirim yapılması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Tanı laboratuvarları haricindeki çalışmalarda biyolojik etkenlerin kullanım amacının beyanı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KAYITLARIN SAKLANMASI (40 YIL KURALI)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Grup 3 ve Grup 4 etkenlere maruz kalan çalışanların listesinin maruziyet bitiminden sonra en az 40 yıl süreyle saklanması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Kalıcı enfeksiyon, uzun kuluçka dönemi ve kanserojen etki potansiyeli olan biyolojik risklerin kayıt altına alınması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VEKİLİ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İŞYERİ HEKİMİ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