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ECFE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E7490"/>
                <w:sz w:val="19"/>
              </w:rPr>
              <w:t>T.C. ÇSGB / İSGGM</w:t>
              <w:br/>
              <w:t>KKD STANDARTLARI</w:t>
            </w:r>
          </w:p>
        </w:tc>
        <w:tc>
          <w:tcPr>
            <w:tcW w:type="dxa" w:w="5184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FFF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F172A"/>
                <w:sz w:val="20"/>
              </w:rPr>
              <w:t>KİŞİSEL KORUYUCU DONANIM YÖNETİM SİSTEMİ</w:t>
              <w:br/>
              <w:t>YÜKSEK GÖRÜNÜRLÜKLÜ İŞ KIYAFETLERI (EN ISO 20471): SINIF 1, 2 VE 3 REFLEKTIF YELEK VE TULUM STANDARTLARI</w:t>
            </w:r>
          </w:p>
        </w:tc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8FAFC"/>
          </w:tcPr>
          <w:p>
            <w:pPr>
              <w:jc w:val="left"/>
            </w:pPr>
            <w:r>
              <w:rPr>
                <w:rFonts w:ascii="Calibri" w:hAnsi="Calibri"/>
                <w:color w:val="475569"/>
                <w:sz w:val="17"/>
              </w:rPr>
              <w:t>Doküman No: KKD-YGK-12</w:t>
              <w:br/>
              <w:t>Yayın Trh: 01.09.2026</w:t>
              <w:br/>
              <w:t>Revizyon No: 01</w:t>
              <w:br/>
              <w:t>Sayfa: 1 / 1</w:t>
            </w:r>
          </w:p>
        </w:tc>
      </w:tr>
    </w:tbl>
    <w:p>
      <w:pPr>
        <w:spacing w:after="1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İlgili EN Standardı / Mevzuat: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TS EN ISO 20471 Yüksek Görünürlüklü Uyarı Giyeceği</w:t>
            </w:r>
          </w:p>
        </w:tc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İşyeri SGK Sicil &amp; Unvan: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</w:tr>
      <w:tr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Tehlike Sınıfı &amp; Saha Bölümü: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Az Tehlikeli [  ]  Tehlikeli [  ]  Çok Tehlikeli [  ]</w:t>
            </w:r>
          </w:p>
        </w:tc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Denetim / Teslim Tarihi: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07.09.2026</w:t>
            </w:r>
          </w:p>
        </w:tc>
      </w:tr>
    </w:tbl>
    <w:p>
      <w:pPr>
        <w:spacing w:after="160"/>
      </w:pPr>
    </w:p>
    <w:p>
      <w:pPr>
        <w:spacing w:before="160" w:after="80"/>
      </w:pPr>
      <w:r>
        <w:rPr>
          <w:rFonts w:ascii="Calibri" w:hAnsi="Calibri"/>
          <w:b/>
          <w:color w:val="0E7490"/>
          <w:sz w:val="21"/>
        </w:rPr>
        <w:t>■ SINIFLANDIRMA VE ASGARI YÜZEY ALANLARI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İşlem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Sınıf 1: Floresan malzeme &gt;= 0.14 m², Retroreflektif şerit &gt;= 0.10 m² (Trafiğin yavaş olduğu otopark ve depo alanları)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Sınıf 2: Floresan malzeme &gt;= 0.50 m², Retroreflektif şerit &gt;= 0.13 m² (Standart şantiyeler ve şehir içi yol çalışmaları)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Sınıf 3: Floresan malzeme &gt;= 0.80 m², Retroreflektif şerit &gt;= 0.20 m² (Otoyollar, havalimanları, yüksek hızlı trafik alanları - tam tulum/ceket)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E7490"/>
          <w:sz w:val="21"/>
        </w:rPr>
        <w:t>■ RENK VE KONTRAST GEREKSINIMLERI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İşlem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Floresan Sarı-Yeşil: Gündüz ışığında en yüksek optik farkındalık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Floresan Turuncu-Kırmızı: Sisli, karlı ve doğal arka planlarda en üstün kontrast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Retroreflektif şeritlerin yatay ve dikey olarak gövdeyi 360 derece çevrelemesi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E7490"/>
          <w:sz w:val="21"/>
        </w:rPr>
        <w:t>■ YIKAMA VE AŞINMA SINIRLARI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İşlem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Reflektif şeritlerin etiketinde belirtilen azami yıkama döngüsünün (genellikle 25-50 yıkama) takip edilmesi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Şeritleri çatlamış veya parlaklığını yitirmiş kıyafetlerin derhal yenilenmesi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456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KKD KULLANICISI / ÇALIŞAN</w:t>
            </w:r>
          </w:p>
        </w:tc>
        <w:tc>
          <w:tcPr>
            <w:tcW w:type="dxa" w:w="3456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 GÜVENLİĞİ UZMANI</w:t>
            </w:r>
          </w:p>
        </w:tc>
        <w:tc>
          <w:tcPr>
            <w:tcW w:type="dxa" w:w="3456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İŞVEREN / BİRİM AMİRİ</w:t>
            </w:r>
          </w:p>
        </w:tc>
      </w:tr>
      <w:tr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Görevi: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Görevi: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Görevi:</w:t>
              <w:br/>
              <w:t>Tarih / Islak İmza:</w:t>
              <w:br/>
              <w:br/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