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CCFBF1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İSGÜM</w:t>
              <w:br/>
              <w:t>İŞ HİJYENİ ÖLÇÜMLERİ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İŞ HİJYENİ ÖLÇÜM, TEST VE DENETİM SİSTEMİ</w:t>
              <w:br/>
              <w:t>UÇUCU ORGANIK BILEŞIKLER (VOC) VE FOTOIYONIZASYON DEDEKTÖRÜ (PID) KULLANIM REHBERI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OLC-VOC-11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ISO 16000-6 İç Ortam Havası - VOC Tayini Standardı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Yapılan Saha / Birim: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Cihaz Seri No &amp; Kalibrasyon: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/ Denetim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PID ÇALIŞMA PRENSIBI VE LAMBA SEÇIMI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10.6 eV standart Kripton lambanın çoğu aromatik ve alifatik hidrokarbonu iyonlaştırması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İyonlaşma potansiyeli (IP) lambanın eV gücünden düşük olan tüm gazların algılanması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İsobütilen referans gazı ile sıfır ve aralık (span) kalibrasyonunun yapılması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YANIT FAKTÖRÜ (RESPONSE FACTOR - RF) UYGULAMASI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Cihaz ekranındaki isobütilen eşdeğeri okumanın hedef kimyasalın RF katsayısıyla çarpılması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Örnek: Benzen için RF=0.53, Toluen için RF=0.50, Ksilen için RF=0.43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SAHA SIZINTI TESPITI VE RAPORLAMA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Boya kabinleri, kurutma fırınları ve flanş bağlantılarında anlık ppm/ppb seviyeli sızıntı taraması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ÖLÇÜM TEKNİSYENİ / HİJYEN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