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CCFBF1"/>
          </w:tcPr>
          <w:p>
            <w:pPr>
              <w:jc w:val="center"/>
            </w:pPr>
            <w:r>
              <w:rPr>
                <w:rFonts w:ascii="Calibri" w:hAnsi="Calibri"/>
                <w:b/>
                <w:color w:val="0F766E"/>
                <w:sz w:val="19"/>
              </w:rPr>
              <w:t>T.C. ÇSGB / İSGÜM</w:t>
              <w:br/>
              <w:t>İŞ HİJYENİ ÖLÇÜMLERİ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İŞ HİJYENİ ÖLÇÜM, TEST VE DENETİM SİSTEMİ</w:t>
              <w:br/>
              <w:t>ALKOLMETRE VE UYUŞTURUCU MADDE TESPIT CIHAZLARI: İŞYERINDE GÜVENLIK AMAÇLI RASTGELE TEST PROTOKOLÜ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OLC-ALK-20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İlgili Standart / Yasal Dayanak: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4857 Sayılı İş Kanunu Madde 84 ve KVKK Mevzuatı</w:t>
            </w:r>
          </w:p>
        </w:tc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Ölçüm Yapılan Saha / Birim: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Cihaz Seri No &amp; Kalibrasyon: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Ölçüm / Denetim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HUKUKI DAYANAK VE KVKK UYUM PROSEDÜRÜ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4857 sayılı İş Kanunu Madde 84: İşyerine sarhoş veya uyuşturucu madde alarak gelme yasağı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İç yönetmelikte ve toplu iş sözleşmesinde test yapılacağına dair açık maddenin bulunması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Test öncesi çalışanın yazılı 'Açık Rıza ve Test Onay Formu'nun alınması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CIHAZ STANDARTLARI VE TEST METODU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Emniyet Genel Müdürlüğü standartlarında elektrokimyasal yakıt hücreli (fuel-cell) profesyonel alkolmetre kullanımı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Testin kamera altında veya en az iki şahit huzurunda tek kullanımlık hijyenik ağızlıkla icrası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Pozitif çıkan sonuçlarda en az 15 dakika sonra ikinci doğrulama üflemesinin yapılması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POZITIF SONUÇ HALINDE TUTANAK VE İTIRAZ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İtiraz halinde derhal en yakın resmi sağlık kuruluşuna sevk edilerek kan tahlili istenmesi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ÖLÇÜM TEKNİSYENİ / HİJYEN UZMANI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