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CCFBF1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İSGÜM</w:t>
              <w:br/>
              <w:t>İŞ HİJYENİ ÖLÇÜMLERİ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İŞ HİJYENİ ÖLÇÜM, TEST VE DENETİM SİSTEMİ</w:t>
              <w:br/>
              <w:t>KIŞISEL ISI STRESI İZLEME CIHAZLARI VE VÜCUT ÇEKIRDEK SICAKLIĞI SENSÖRLERI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OLC-GYS-21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Fizyolojik Isı Stresi ve Biyotelemetrik İzleme Standartları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Yapılan Saha / Birim: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Cihaz Seri No &amp; Kalibrasyon: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/ Denetim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GIYILEBILIR SENSÖR PARAMETRELERI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Kalp Atım Hızı (Nabız): Sürekli dakikada 110 atım üzerinde olması durumunda aşırı kardiyak yük uyarısı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Tahmini Çekirdek Sıcaklık: Vücut içi sıcaklığının 38.0°C üzerine çıkması (Dikkat) ve 38.5°C olması (Acil İşi Bırakma)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Cilt Sıcaklığı ve Terleme İndeksi: Dehidrasyon riskinin anlık tespiti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KABLOSUZ TELEMETRI VE ALARM EŞIKLERI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Sensör verilerinin Bluetooth/LoRaWAN ile İSG merkez kontrol paneline kablosuz aktarılması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Kritik eşikte çalışanın bilekliğinin titreşerek ve sesli uyarı vererek dinlenme odasına yönlendirilmesi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ÖLÇÜM TEKNİSYENİ / HİJYEN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