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OTOMATIK SPRINKLER (YAĞMURLAMA) SISTEMLERI VE TS EN 12845 / NFPA 13 STANDARTLARI: ISLAK, KURU VE BASKIN SISTEM MUAYENESI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SPR-KNT-03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12845 &amp; NFPA 13 Standartları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SPRINKLER BAŞLIKLARI VE HAT KONTROLLERI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Sprinkler başlıklarının altında en az 45 cm (yüksek raflı depolarda 90 cm) serbest boşluk bırakılmış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Sprinkler başlıklarında boya, aşırı toz, korozyon veya mekanik darbe hasarı var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Cam tüplü sprinkler başlıklarında sıvı seviyesi ve renk sıcaklık kodu uygun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Tesis genelinde yedek sprinkler dolabı ve özel değiştirme anahtarı mevcut ve tam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ALARM VANA İSTASYONU VE GÖSTERGELER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Islak/kuru alarm vanası öncesi ve sonrası basınç manometreleri normal çalışma değerinde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Ana kesme vanaları (OS&amp;Y veya kelebek) açık konumda zincirlenmiş veya izleme anahtarlı (switchli)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Akış anahtarları (Flow Switch) ve test drenaj vanası açılarak yangın santraline sinyal iletildiği doğrulanmış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Su motorlu alarm çanı (gong) drenaj testi sırasında mekanik olarak sesli alarm vermiş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HIDROLIK VE DONMA KORUMASI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Soğuk ve donma riski olan açık yükleme peronlarında kuru borulu veya antifrizli sistem kullanılmış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Kuru borulu sistemde kompresör hava basıncı ve diferansiyel vana ayarları uygun mudur?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