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EE2E2"/>
          </w:tcPr>
          <w:p>
            <w:pPr>
              <w:jc w:val="center"/>
            </w:pPr>
            <w:r>
              <w:rPr>
                <w:rFonts w:ascii="Calibri" w:hAnsi="Calibri"/>
                <w:b/>
                <w:color w:val="B91C1C"/>
                <w:sz w:val="18"/>
              </w:rPr>
              <w:t>T.C. İÇİŞLERİ BAKANLIĞI / ÇSGB</w:t>
              <w:br/>
              <w:t>YANGIN VE GÜVENLİK SİSTEMLERİ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YANGIN GÜVENLİĞİ VE ACİL DURUM YÖNETİM SİSTEMİ</w:t>
              <w:br/>
              <w:t>YANGIN HIDRANT HATLARI VE SAHA HIDRANTLARI (TS EN 14384 / TS EN 14339): HALKA (RING) ŞEBEKE VE DINAMIK DEBI KRITERLERI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HDR-DNT-06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Standart / Yasal Dayanak: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TS EN 14384 &amp; BYKHY Md. 95</w:t>
            </w:r>
          </w:p>
        </w:tc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Tesis / İşyeri Adı &amp; Mahalli: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Denetlenen Hat / Ekipman Seri No: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Muayene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FIZIKSEL DURUM VE YERLEŞIM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Hidrantlar bina dış cephesinden en az 5 metre, en fazla 15 metre mesafede konumlandırılmış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Hidrantlar arası mesafe çok tehlikeli bölgelerde 50 m, tehlikeli bölgelerde 100 m kriterine uygun mudur?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Hidrant etrafında araç parkı veya malzeme istifini önleyici koruma babaları ve sarı-siyah zemin boyası var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Gövde boyası (kırmızı) sağlam, darbe, kırık veya yer altı flanşında çatlak var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VANA, KAPAK VE DRENAJ KONTROLÜ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Hidrant açma-kapama mili anahtarla zorlanmadan, sıkışmadan açılıp kapanmakta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Storz kapaklar ve zincirleri sağlam, contalar çatlamamış durumda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Hidrant kapatıldığında gövde içerisindeki suyun donmaması için otomatik donma drenajı (boşaltma deliği) çalışmakta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Hidrant yanında bulunan malzeme dolabında en az 2 adet 20 m 65 mm hortum, lans, hidrant anahtarı ve kaplin anahtarı mevcut mudur?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BASINÇ VE DEBI ÖLÇÜMÜ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Pitot tüpü ile yapılan akış testinde hidranttan en az 700 kPa (7 bar) ve 1900 l/dakika debi elde edilmiş midir?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Halka (ring) şebeke üzerindeki hat kesme vanaları açık konumda ve mühürlü müdür?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YANGIN GÜVENLİK UZMANI</w:t>
            </w:r>
          </w:p>
        </w:tc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