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EE2E2"/>
          </w:tcPr>
          <w:p>
            <w:pPr>
              <w:jc w:val="center"/>
            </w:pPr>
            <w:r>
              <w:rPr>
                <w:rFonts w:ascii="Calibri" w:hAnsi="Calibri"/>
                <w:b/>
                <w:color w:val="B91C1C"/>
                <w:sz w:val="18"/>
              </w:rPr>
              <w:t>T.C. İÇİŞLERİ BAKANLIĞI / ÇSGB</w:t>
              <w:br/>
              <w:t>YANGIN VE GÜVENLİK SİSTEMLERİ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YANGIN GÜVENLİĞİ VE ACİL DURUM YÖNETİM SİSTEMİ</w:t>
              <w:br/>
              <w:t>YANGIN KAPILARI VE KAÇIŞ MERDIVENLERI (TS EN 1634-1 &amp; BYKHY): EI30 - EI120 DAYANIKLILIK, PANIK BAR VE DUMAN SIZDIRMAZLIK MUAYENESI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YKP-DNT-12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1634-1 &amp; BYKHY Md. 34-48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Tesis / İşyeri Adı &amp; Mahalli: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Denetlenen Hat / Ekipman Seri No: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Muayene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KAPI KANADI, KASA VE SERTIFIKASYON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Yangın kapısı üzerinde üretici, sertifika enstitüsü ve dayanım sınıfını (EI30, EI60, EI90, EI120) belirten metal etiket mevcut mudur?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Kapı kasası ile kanat arasındaki şişen (intumescent) sıcak duman fitilleri ve soğuk duman fitilleri sağlam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Kapı üzerinde yangın dayanımını bozacak izinsiz delik, vida, cam modifikasyonu veya menfez var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Yangın kapısının eşiğinde kaçışı engelleyecek veya takılmaya yol açacak yüksek basamak bulunmamakta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DONANIM VE KAPANMA MEKANIZMASI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Kapı hidroliği (kendiliğinden kapatıcı düzenek) kapıyı her açıdan tam ve kilit diline kadar kapatmakta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Yangın kapıları hiçbir surette takoz, ip, kanca veya koli ile açık konumda sabitlenmemiş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Çift kanatlı kapılarda sıralı kapanma mekanizması (koordinatör) doğru çalışmakta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Panik bar mekanizması hafif bir göğüs/el baskısıyla (en çok 80 N) kapıyı anında açmakta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KAÇIŞ GÜZERGAHI VE MERDIVEN HACMI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Kaçış merdiveni sahanlıklarında, basamaklarında veya altında hiçbir yanıcı malzeme istifi yok mudur?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Yangın kapıları kaçış yönüne doğru ve kaçış koridorunu daraltmayacak şekilde açılmakta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YANGIN GÜVENLİK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