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4857 İŞ KANUNU &amp;</w:t>
              <w:br/>
              <w:t>İSG 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ÇALIŞMA SÜRELERİ VE İSG UYGULAMA FORMU</w:t>
              <w:br/>
              <w:t>ÇOCUK VE GENÇ İŞÇILERIN ÇALIŞMA SÜRELERI VE DINLENME KILAVUZU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ISG-SURE-2026-11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Birim / Departman: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İlgili Mevzuat Maddesi: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4857 Sayılı İş Kanunu / 6331 İSGK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KİMLİK VE ÖĞRENİM DURUMU KONTROLLERİ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Çalışanın nüfus cüzdanı, doğum tarihi ve yasal yaş sınırı (14/15 yaş) doğrulandı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Öğrenim belgesi, okul devam durumu ve veli muvafakatnamesi dosyaya konuldu mu?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Ağır ve tehlikeli işler listesinde yer almayan hafif işlerde çalıştırıldığı teyit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ÇALIŞMA SÜRELERİ VE ARA DİNLENMELERİ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Günlük çalışma süresinin 7 (veya 8) saati, haftalık sürenin 35 (veya 40) saati aşmadığı kontrol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2 saatten 4 saate kadar işlerde 30 dk, 4-7.5 saat işlerde 1 saat ara dinlenmesi sağlandı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YASAKLAR VE İSG PROTOKOLÜ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postalarında ve fazla mesaide kesinlikle çalıştırılmadığı teyit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Hafta tatilinin kesintisiz en az 40 saat olarak kullandırıldığı doğrulandı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İK MÜDÜRÜ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