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4857 İŞ KANUNU &amp;</w:t>
              <w:br/>
              <w:t>İSG 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ÇALIŞMA SÜRELERİ VE İSG UYGULAMA FORMU</w:t>
              <w:br/>
              <w:t>DENKLEŞTIRME (ESNEK ÇALIŞMA) VE TELAFI ÇALIŞMASI PROTOKOLÜ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ISG-SURE-2026-04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Birim / Departman: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İlgili Mevzuat Maddesi: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4857 Sayılı İş Kanunu / 6331 İSGK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DENKLEŞTİRME DÖNEMİ VE TARAFLARIN ANLAŞMASI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Denkleştirme periyodunun başlangıç ve bitiş tarihleri (en çok 2 ay)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Çalışanların yazılı onay ve muvafakatnameleri özlük dosyasına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Haftalık ortalama çalışma süresinin 45 saati aşmadığı puantajla teyit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GÜNLÜK AZAMİ ÇALIŞMA SINIRLARI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Yoğunlaştırılmış haftalarda dahi günlük fiili sürenin 11 saati aşmadığı kontrol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Gece dönemine denk gelen günlerde günlük 7.5 saat sınırına riayet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TELAFİ ÇALIŞMASI VE ONAYLAR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Telafi çalışması gerektiren yasal sebep (arıza, tatil vb.) tutanak altına alındı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Telafi sürelerinin günlük 3 saati aşmadığı ve tatil günlerinde yapılmadığı doğrulandı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İK MÜDÜRÜ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