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EF2F2"/>
          </w:tcPr>
          <w:p>
            <w:pPr>
              <w:jc w:val="center"/>
            </w:pPr>
            <w:r>
              <w:rPr>
                <w:rFonts w:ascii="Calibri" w:hAnsi="Calibri"/>
                <w:b/>
                <w:color w:val="B91C1C"/>
                <w:sz w:val="19"/>
              </w:rPr>
              <w:t>T.C. SGK &amp; ÇSGB</w:t>
              <w:br/>
              <w:t>İŞ KAZASI MEVZUATI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SGK VE İŞ KAZASI YÖNETİM SİSTEMİ</w:t>
              <w:br/>
              <w:t>HASTANEYE SEVK VE ADLI VAKA İŞ KAZASI GIRIŞ PROTOKOLÜ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SGK-KZA-2026-15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Kaza / Olay Tarihi - Saati: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 / ....... / 2026   -   ....... : 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SGK e-Bildirim Barkod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1. HASTA VE SEVK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Kazazedenin kimlik bilgileri, sigorta sicil no ve kan grubu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Sevk edilen hastane adı, sevk saati ve ambulans çağrı kayıt no eklendi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2. HASTANE KAYITLARI VE ADLİ RAPOR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Hastane acil servisinde 'Adli Vaka / İş Kazası' kaydı açıldığı teyit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Genel Adli Muayene Raporunun (GAMR) protokol no ve bir sureti alındı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3. REFAKATÇİ VE İLETİŞİM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Hastanedeki süreci takip eden şirket refakatçisinin iletişim bilgileri kaydedildi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Hekimin ilk tıbbi teşhis ve istirahat kararı kriz masasına iletildi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VEKİLİ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