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0F9FF"/>
          </w:tcPr>
          <w:p>
            <w:pPr>
              <w:jc w:val="center"/>
            </w:pPr>
            <w:r>
              <w:rPr>
                <w:rFonts w:ascii="Calibri" w:hAnsi="Calibri"/>
                <w:b/>
                <w:color w:val="1E3A8A"/>
                <w:sz w:val="19"/>
              </w:rPr>
              <w:t>T.C. ÇSGB &amp; İSG-KATİP</w:t>
              <w:br/>
              <w:t>UYUMLU BELGE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1"/>
              </w:rPr>
              <w:t>İŞ SAĞLIĞI VE GÜVENLİĞİ BİLGİ SİSTEMİ</w:t>
              <w:br/>
              <w:t>İSG-KATIP SÖZLEŞME FESHI, İSTIFA VE İHBAR BILDIRIMI DILEKÇESI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ISG-KTP-2026-04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Tehlike Sınıfı / NACE: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Az Tehlikeli [ ]  Tehlikeli [ ]  Çok Tehlikeli [ ]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İSG Profesyoneli / Sicil: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1. TARAFLAR VE SÖZLEŞME REFERANSLARI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Feshedilen İSG-Katip sözleşme numarası ve başlangıç tarihi belirtildi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İşveren unvanı, SGK sicil no ve İSG profesyoneli kimlik bilgileri yazıldı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Fesih gerekçesi (istifa, haklı fesih, karşılıklı anlaşma vb.) açıklandı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2. DEVİR VE ARŞİV TESLİMİ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Noter onaylı Tespit ve Öneri Defteri işverene eksiksiz teslim edildi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Risk analizi, acil durum planı ve çalışan eğitim belgeleri işyeri arşivine devredildi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Devam eden hukuki veya teftiş süreçleri hakkında işverene yazılı bilgi verildi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3. YASAL SÜRE VE BİLDİRİM TAAHHÜDÜ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İSG-Katip sistemi üzerinden tek taraflı fesih işlemi tamamlandı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İşverenin 30 gün içinde yeni atama yapması gerektiği ihtar edildi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İŞVEREN VEKİLİ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