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T.C. ÇSGB &amp; İSG-KATİP</w:t>
              <w:br/>
              <w:t>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1"/>
              </w:rPr>
              <w:t>İŞ SAĞLIĞI VE GÜVENLİĞİ BİLGİ SİSTEMİ</w:t>
              <w:br/>
              <w:t>İŞ GÜVENLIĞI UZMANI VE İŞYERI HEKIMI 5 YILLIK VIZE YENILEME BAŞVURU ŞABLONU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ISG-KTP-2026-12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Tehlike Sınıfı / NACE: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Az Tehlikeli [ ]  Tehlikeli [ ]  Çok Tehlikeli [ ]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İSG Profesyoneli / Sicil: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PROFESYONEL VE BELGE BİLGİLERİ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Başvuru sahibinin TC kimlik no, ad-soyad ve güncel iletişim bilgileri yazıldı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 Güvenliği Uzmanlığı / İşyeri Hekimliği belge sınıfı ve sertifika sicil no belirtildi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Mevcut belgenin tescil tarihi ve vize bitiş tarihi doğru girildi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BANKA HARÇ VE DEKONT BİLGİLERİ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Bakanlık Döner Sermaye hesabına yatırılan harç makbuz tarihi ve tahsilat fiş no eklendi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Ödemenin doğrudan Ziraat Bankası İSGGM Vize kurumsal koduyla yapıldığı teyit edildi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TALEP VE BEYAN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Belgenin 5 yıl süreyle vize edilerek sistemde aktif hale getirilmesi talep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Başvuru sahibi imzası ve e-Devlet başvuru numarası dosyaya eklendi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İŞVEREN VEKİLİ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