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EF2F2"/>
          </w:tcPr>
          <w:p>
            <w:pPr>
              <w:jc w:val="center"/>
            </w:pPr>
            <w:r>
              <w:rPr>
                <w:rFonts w:ascii="Calibri" w:hAnsi="Calibri"/>
                <w:b/>
                <w:color w:val="B91C1C"/>
                <w:sz w:val="19"/>
              </w:rPr>
              <w:t>T.C. SGK &amp; ÇSGB</w:t>
              <w:br/>
              <w:t>İŞ KAZASI MEVZUATI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SGK VE İŞ KAZASI YÖNETİM SİSTEMİ</w:t>
              <w:br/>
              <w:t>İŞ KAZASI SONRASI SAVCILIK İFADESI VE HUKUKI SAVUNMA KILAVUZU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SGK-KZA-2026-10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Kaza / Olay Tarihi - Saati: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 / ....... / 2026   -   ....... : 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SGK e-Bildirim Barkod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1. İFADE VERENİN STATÜSÜ VE YETKİLERİ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Şüphelinin unvanı, görev tanımı, vekaletnamesi ve imza yetkisi açıklandı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İşyerindeki hiyerarşik yapı ve talimat verme yetkisi şemayla netleştirildi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2. İSG MEVZUATI KAPSAMINDA ALINAN TEDBİRLER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Kazazedenin oryantasyon ve temel İSG eğitim belgeleri savcılığa sunuldu mu?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Risk değerlendirmesinde ilgili tehlikenin yer aldığı ve tedbir yazıldığı gösterildi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Ekipmanın periyodik kontrol raporu ve bakım kayıtları dosyaya eklendi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3. İHMAL VE KUSURSUZLUK BEYANI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İşçinin güvensiz hareketi veya talimat ihlali varsa somut delillerle açıklandı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Avukat huzurunda alınan ifadenin bir sureti dosyaya alındı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VEKİLİ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