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0F9FF"/>
          </w:tcPr>
          <w:p>
            <w:pPr>
              <w:jc w:val="center"/>
            </w:pPr>
            <w:r>
              <w:rPr>
                <w:rFonts w:ascii="Calibri" w:hAnsi="Calibri"/>
                <w:b/>
                <w:color w:val="1E3A8A"/>
                <w:sz w:val="19"/>
              </w:rPr>
              <w:t>T.C. ÇSGB &amp; İSG-KATİP</w:t>
              <w:br/>
              <w:t>UYUMLU BELGE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1"/>
              </w:rPr>
              <w:t>İŞ SAĞLIĞI VE GÜVENLİĞİ BİLGİ SİSTEMİ</w:t>
              <w:br/>
              <w:t>İŞYERI HEKIMI ELEKTRONIK REÇETE (E-REÇETE) VE MEDULA YETKILENDIRME ŞABLONU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ISG-KTP-2026-19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Tehlike Sınıfı / NACE: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Az Tehlikeli [ ]  Tehlikeli [ ]  Çok Tehlikeli [ ]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İSG Profesyoneli / Sicil: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1. İŞYERİ VE HEKİM KİMLİK BİLGİLERİ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Hekimin Adı Soyadı, TC Kimlik Numarası ve Diploma Tescil No yazıldı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Hekimin İSG-Katip sertifika numarası ve yetki sınıfı belirtildi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İşyerinin SGK işyeri sicil numarası ve MEDULA tesis kodu eklendi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2. ELEKTRONİK İMZA VE MEDULA DONANIMI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Geçerli Nitelikli Elektronik Sertifika (e-İmza) sağlayıcı bilgisi doğrulandı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MEDULA hekim şifresi ve kurumsal e-Devlet erişimi test edildi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3. YETKİLENDİRME TALEP VE ONAYI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SGK İl Müdürlüğü Sağlık Sosyal Güvenlik Merkezine hitaben resmi talep metni hazırlandı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Hekim ve İşveren Vekili ıslak imza ve kaşeleri tamamlandı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İŞVEREN VEKİLİ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