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4857 İŞ KANUNU &amp;</w:t>
              <w:br/>
              <w:t>İSG 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ÇALIŞMA SÜRELERİ VE İSG UYGULAMA FORMU</w:t>
              <w:br/>
              <w:t>KISMI SÜRELI (PART-TIME) VE ÇAĞRI ÜZERINE ÇALIŞMA SÖZLEŞMESI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ISG-SURE-2026-08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Birim / Departman: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İlgili Mevzuat Maddesi: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4857 Sayılı İş Kanunu / 6331 İSGK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TARAFLAR VE ÇALIŞMA GÜNLERİ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Kısmi süreli personelin haftalık toplam çalışma saati (en fazla 30 saat)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Hangi günler ve saatler arasında çalışma yapılacağı sözleşmede açıkça yazıldı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Tam süreli emsal işçiye göre saatlik ücret eşitlik ilkesine göre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ÇAĞRI USULÜ VE SÜRE GARANTİSİ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Çağrı üzerine çalışmada çağrının en az 4 gün önceden yazılı yapılacağı taahhüt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Her çağrıda günlük en az 4 saat çalışma garantisi verildi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İSG EĞİTİMİ VE SAĞLIK GÖZETİMİ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Part-time personele tam süreli çalışanlar gibi eksiksiz İSG eğitimi verildi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İşe giriş ve periyodik sağlık raporu dosyasına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İK MÜDÜRÜ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