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EF2F2"/>
          </w:tcPr>
          <w:p>
            <w:pPr>
              <w:jc w:val="center"/>
            </w:pPr>
            <w:r>
              <w:rPr>
                <w:rFonts w:ascii="Calibri" w:hAnsi="Calibri"/>
                <w:b/>
                <w:color w:val="B91C1C"/>
                <w:sz w:val="19"/>
              </w:rPr>
              <w:t>T.C. SGK &amp; ÇSGB</w:t>
              <w:br/>
              <w:t>İŞ KAZASI MEVZUATI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SGK VE İŞ KAZASI YÖNETİM SİSTEMİ</w:t>
              <w:br/>
              <w:t>SGK MÜFETTIŞ İNCELEMESI VE KAZA TEFTIŞI SORU LISTESI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SGK-KZA-2026-13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Kaza / Olay Tarihi - Saati: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 / ....... / 2026   -   ....... : 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SGK e-Bildirim Barkod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1. MÜFETTİŞE İBRAZ EDİLECEK YASAL BELGELER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 İSG-Katip sözleşmeleri ve onaylı tespit öneri defteri hazırlandı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 kazası e-SGK bildirim formu ve ilk sağlık raporu dosyaya konuldu mu?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Geçerli Risk Değerlendirmesi ve Acil Durum Eylem Planı hazır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2. KAZAZEDE ÖZLÜK VE EĞİTİM DOSYASI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Kazazedenin işe giriş sağlık raporu ve periyodik muayene formları mevcut mu?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Temel İSG eğitimi katılım belgesi ve sınav kağıdı dosyada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Kişisel Koruyucu Donanım (KKD) teslim ve zimmet tutanağı imzalı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3. TEKNİK EKİPMAN VE SAHA SAVUNMASI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 yapan makinenin periyodik kontrol ve test raporu güncel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Makine başında çalışan için hazırlanmış Türkçe güvenli kullanım talimatı asılı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VEKİLİ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