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4857 İŞ KANUNU &amp;</w:t>
              <w:br/>
              <w:t>İSG 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0"/>
              </w:rPr>
              <w:t>ÇALIŞMA SÜRELERİ VE İSG UYGULAMA FORMU</w:t>
              <w:br/>
              <w:t>İŞ ARAMA İZNI SÜRELERI VE BILDIRIM ÖNELI HESAPLAMA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ISG-SURE-2026-12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Birim / Departman: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İlgili Mevzuat Maddesi: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4857 Sayılı İş Kanunu / 6331 İSGK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FESİH BİLDİRİMİ VE İHBAR SÜRESİ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Fesih bildirim tarihi ve yasal ihbar öneli süresi (2-4-6-8 hafta) belirlendi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 sözleşmesinin sona ereceği kesin tarih işçiye tebliğ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İŞ ARAMA İZNİ KULLANIM SEÇİMİ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İşçinin günlük 2 saat mi yoksa toplu mu kullanmak istediğine dair yazılı dilekçesi alındı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Toplu kullanım halinde işten ayrılış tarihinden önceki günlere denk gelecek şekilde takvim bağlandı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ÜCRET VE ÇALIŞTIRMAMA TAAHHÜDÜ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Yasal Kriter ve Uygulama Esası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Uygunluk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Denetim Notu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 arama izni saatleri için bordroda tam ücret tahakkuk ettirildi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İzin saatlerinde personelin kesinlikle çalıştırılmadığı teyit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İK MÜDÜRÜ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Görevi: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